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0A" w:rsidRDefault="00B63D0A" w:rsidP="00B63D0A">
      <w:pPr>
        <w:spacing w:line="540" w:lineRule="atLeast"/>
        <w:jc w:val="center"/>
        <w:outlineLvl w:val="1"/>
        <w:rPr>
          <w:rFonts w:ascii="黑体" w:eastAsia="黑体"/>
          <w:color w:val="000000"/>
          <w:kern w:val="36"/>
          <w:sz w:val="42"/>
          <w:szCs w:val="42"/>
        </w:rPr>
      </w:pPr>
      <w:r>
        <w:rPr>
          <w:rFonts w:ascii="黑体" w:eastAsia="黑体" w:hint="eastAsia"/>
          <w:color w:val="000000"/>
          <w:kern w:val="36"/>
          <w:sz w:val="42"/>
          <w:szCs w:val="42"/>
        </w:rPr>
        <w:t>天真的与实际的</w:t>
      </w:r>
      <w:r>
        <w:rPr>
          <w:rFonts w:ascii="黑体" w:eastAsia="黑体"/>
          <w:color w:val="000000"/>
          <w:kern w:val="36"/>
          <w:sz w:val="42"/>
          <w:szCs w:val="42"/>
        </w:rPr>
        <w:t xml:space="preserve"> </w:t>
      </w:r>
    </w:p>
    <w:p w:rsidR="00B63D0A" w:rsidRDefault="00B63D0A" w:rsidP="00B63D0A">
      <w:pPr>
        <w:spacing w:line="384" w:lineRule="auto"/>
        <w:jc w:val="center"/>
        <w:rPr>
          <w:rFonts w:ascii="宋体"/>
          <w:color w:val="969696"/>
          <w:kern w:val="0"/>
          <w:sz w:val="18"/>
          <w:szCs w:val="18"/>
        </w:rPr>
      </w:pPr>
      <w:r>
        <w:rPr>
          <w:rFonts w:hint="eastAsia"/>
          <w:color w:val="969696"/>
          <w:sz w:val="18"/>
          <w:szCs w:val="18"/>
        </w:rPr>
        <w:t>本文来源于</w:t>
      </w:r>
      <w:r>
        <w:rPr>
          <w:color w:val="969696"/>
          <w:sz w:val="18"/>
          <w:szCs w:val="18"/>
        </w:rPr>
        <w:t xml:space="preserve"> </w:t>
      </w:r>
      <w:hyperlink r:id="rId6" w:tgtFrame="_blank" w:history="1">
        <w:r>
          <w:rPr>
            <w:rFonts w:hint="eastAsia"/>
            <w:color w:val="336699"/>
            <w:sz w:val="18"/>
            <w:szCs w:val="18"/>
          </w:rPr>
          <w:t>财新《新世纪》</w:t>
        </w:r>
      </w:hyperlink>
      <w:r>
        <w:rPr>
          <w:color w:val="969696"/>
          <w:sz w:val="18"/>
          <w:szCs w:val="18"/>
        </w:rPr>
        <w:t xml:space="preserve"> 2011</w:t>
      </w:r>
      <w:r>
        <w:rPr>
          <w:rFonts w:hint="eastAsia"/>
          <w:color w:val="969696"/>
          <w:sz w:val="18"/>
          <w:szCs w:val="18"/>
        </w:rPr>
        <w:t>年第</w:t>
      </w:r>
      <w:r>
        <w:rPr>
          <w:color w:val="969696"/>
          <w:sz w:val="18"/>
          <w:szCs w:val="18"/>
        </w:rPr>
        <w:t>3</w:t>
      </w:r>
      <w:r>
        <w:rPr>
          <w:rFonts w:hint="eastAsia"/>
          <w:color w:val="969696"/>
          <w:sz w:val="18"/>
          <w:szCs w:val="18"/>
        </w:rPr>
        <w:t>期</w:t>
      </w:r>
      <w:r>
        <w:rPr>
          <w:color w:val="969696"/>
          <w:sz w:val="18"/>
          <w:szCs w:val="18"/>
        </w:rPr>
        <w:t xml:space="preserve"> </w:t>
      </w:r>
      <w:r>
        <w:rPr>
          <w:rFonts w:hint="eastAsia"/>
          <w:color w:val="969696"/>
          <w:sz w:val="18"/>
          <w:szCs w:val="18"/>
        </w:rPr>
        <w:t>出版日期</w:t>
      </w:r>
      <w:r>
        <w:rPr>
          <w:color w:val="969696"/>
          <w:sz w:val="18"/>
          <w:szCs w:val="18"/>
        </w:rPr>
        <w:t xml:space="preserve"> 2011</w:t>
      </w:r>
      <w:r>
        <w:rPr>
          <w:rFonts w:hint="eastAsia"/>
          <w:color w:val="969696"/>
          <w:sz w:val="18"/>
          <w:szCs w:val="18"/>
        </w:rPr>
        <w:t>年</w:t>
      </w:r>
      <w:r>
        <w:rPr>
          <w:color w:val="969696"/>
          <w:sz w:val="18"/>
          <w:szCs w:val="18"/>
        </w:rPr>
        <w:t>01</w:t>
      </w:r>
      <w:r>
        <w:rPr>
          <w:rFonts w:hint="eastAsia"/>
          <w:color w:val="969696"/>
          <w:sz w:val="18"/>
          <w:szCs w:val="18"/>
        </w:rPr>
        <w:t>月</w:t>
      </w:r>
      <w:r>
        <w:rPr>
          <w:color w:val="969696"/>
          <w:sz w:val="18"/>
          <w:szCs w:val="18"/>
        </w:rPr>
        <w:t>17</w:t>
      </w:r>
      <w:r>
        <w:rPr>
          <w:rFonts w:hint="eastAsia"/>
          <w:color w:val="969696"/>
          <w:sz w:val="18"/>
          <w:szCs w:val="18"/>
        </w:rPr>
        <w:t>日</w:t>
      </w:r>
      <w:r>
        <w:rPr>
          <w:color w:val="969696"/>
          <w:sz w:val="18"/>
          <w:szCs w:val="18"/>
        </w:rPr>
        <w:t xml:space="preserve"> </w:t>
      </w:r>
    </w:p>
    <w:p w:rsidR="00B63D0A" w:rsidRDefault="00B63D0A" w:rsidP="00B63D0A">
      <w:pPr>
        <w:shd w:val="clear" w:color="auto" w:fill="F1F1F1"/>
        <w:spacing w:line="330" w:lineRule="atLeast"/>
        <w:jc w:val="left"/>
        <w:rPr>
          <w:color w:val="474748"/>
        </w:rPr>
      </w:pPr>
      <w:r>
        <w:rPr>
          <w:rFonts w:hint="eastAsia"/>
          <w:color w:val="474748"/>
        </w:rPr>
        <w:t>老金的坦率像艺术家的坦率，他的虚荣像艺术家的虚荣，他的慷慨、热情和务实，都与艺术家一致</w:t>
      </w:r>
    </w:p>
    <w:p w:rsidR="00B63D0A" w:rsidRDefault="00B63D0A" w:rsidP="00B63D0A">
      <w:pPr>
        <w:spacing w:line="384" w:lineRule="auto"/>
        <w:rPr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314450" cy="1704975"/>
            <wp:effectExtent l="0" t="0" r="0" b="952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0A" w:rsidRDefault="00B63D0A" w:rsidP="00B63D0A">
      <w:pPr>
        <w:spacing w:line="384" w:lineRule="auto"/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出版日期</w:t>
      </w:r>
      <w:r>
        <w:rPr>
          <w:sz w:val="18"/>
          <w:szCs w:val="18"/>
        </w:rPr>
        <w:t xml:space="preserve"> 2011-01-17</w:t>
      </w:r>
    </w:p>
    <w:p w:rsidR="00B63D0A" w:rsidRDefault="00B63D0A" w:rsidP="00B63D0A">
      <w:pPr>
        <w:spacing w:line="384" w:lineRule="auto"/>
        <w:ind w:left="720"/>
        <w:rPr>
          <w:sz w:val="18"/>
          <w:szCs w:val="18"/>
        </w:rPr>
      </w:pPr>
      <w:r>
        <w:rPr>
          <w:rStyle w:val="Strong"/>
          <w:rFonts w:hint="eastAsia"/>
          <w:sz w:val="18"/>
          <w:szCs w:val="18"/>
        </w:rPr>
        <w:t>本文见财新《新世纪》</w:t>
      </w:r>
      <w:r>
        <w:rPr>
          <w:rStyle w:val="Strong"/>
          <w:sz w:val="18"/>
          <w:szCs w:val="18"/>
        </w:rPr>
        <w:t>2011</w:t>
      </w:r>
      <w:r>
        <w:rPr>
          <w:rStyle w:val="Strong"/>
          <w:rFonts w:hint="eastAsia"/>
          <w:sz w:val="18"/>
          <w:szCs w:val="18"/>
        </w:rPr>
        <w:t>年第</w:t>
      </w:r>
      <w:r>
        <w:rPr>
          <w:rStyle w:val="Strong"/>
          <w:sz w:val="18"/>
          <w:szCs w:val="18"/>
        </w:rPr>
        <w:t>3</w:t>
      </w:r>
      <w:r>
        <w:rPr>
          <w:rStyle w:val="Strong"/>
          <w:rFonts w:hint="eastAsia"/>
          <w:sz w:val="18"/>
          <w:szCs w:val="18"/>
        </w:rPr>
        <w:t>期</w:t>
      </w:r>
    </w:p>
    <w:p w:rsidR="00B63D0A" w:rsidRDefault="00B63D0A" w:rsidP="00B63D0A">
      <w:pPr>
        <w:pStyle w:val="NormalWeb"/>
        <w:spacing w:line="384" w:lineRule="auto"/>
        <w:ind w:left="720"/>
        <w:rPr>
          <w:sz w:val="18"/>
          <w:szCs w:val="18"/>
        </w:rPr>
      </w:pPr>
      <w:hyperlink r:id="rId9" w:history="1">
        <w:r>
          <w:rPr>
            <w:rStyle w:val="Hyperlink"/>
            <w:rFonts w:hint="eastAsia"/>
            <w:sz w:val="18"/>
            <w:szCs w:val="18"/>
          </w:rPr>
          <w:t>封面文章</w:t>
        </w:r>
      </w:hyperlink>
    </w:p>
    <w:p w:rsidR="00B63D0A" w:rsidRDefault="00B63D0A" w:rsidP="00B63D0A">
      <w:pPr>
        <w:pStyle w:val="NormalWeb"/>
        <w:spacing w:line="384" w:lineRule="auto"/>
        <w:ind w:left="720"/>
        <w:rPr>
          <w:sz w:val="18"/>
          <w:szCs w:val="18"/>
        </w:rPr>
      </w:pPr>
      <w:hyperlink r:id="rId10" w:history="1">
        <w:r>
          <w:rPr>
            <w:rStyle w:val="Hyperlink"/>
            <w:rFonts w:hint="eastAsia"/>
            <w:sz w:val="18"/>
            <w:szCs w:val="18"/>
          </w:rPr>
          <w:t>当期杂志</w:t>
        </w:r>
      </w:hyperlink>
    </w:p>
    <w:p w:rsidR="00B63D0A" w:rsidRDefault="00B63D0A" w:rsidP="00B63D0A">
      <w:pPr>
        <w:spacing w:line="456" w:lineRule="auto"/>
      </w:pPr>
      <w:r>
        <w:rPr>
          <w:sz w:val="18"/>
          <w:szCs w:val="18"/>
        </w:rPr>
        <w:pict/>
      </w:r>
      <w:r>
        <w:rPr>
          <w:sz w:val="18"/>
          <w:szCs w:val="18"/>
        </w:rPr>
        <w:pict/>
      </w:r>
      <w:r>
        <w:rPr>
          <w:rStyle w:val="Strong"/>
          <w:rFonts w:hint="eastAsia"/>
        </w:rPr>
        <w:t>崔卫平</w:t>
      </w:r>
      <w:r>
        <w:rPr>
          <w:rStyle w:val="Strong"/>
        </w:rPr>
        <w:t>|</w:t>
      </w:r>
      <w:r>
        <w:rPr>
          <w:rStyle w:val="Strong"/>
          <w:rFonts w:hint="eastAsia"/>
        </w:rPr>
        <w:t>文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老金一脸憨相，个头矮小，在北京通州宋庄给艺术家们开车，随叫随到。不管是深更半夜或者艺术家们喝醉了，只要还能打电话给老金，就能回家。有人喝多了，喊着要杀他，要把他赶下车自己开车回去，老金仍然满脸笑容，服务热情。这种事情一传，他成了宋庄的名人，他认识的艺术家，比别的艺术家还要多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他出入于各个艺术家的画室，在不同风格的画作面前流连，看得多了，也能说出一点道道来，不怯场。类似“抽象画”“有个性”，这些专业半专业的词汇，他脱口而出。他戴一顶黑色小皮帽，有点风尘仆仆的味道，既像星探，又像评论家、策展人，又或买画的商人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</w:t>
      </w:r>
      <w:r>
        <w:t>2010</w:t>
      </w:r>
      <w:r>
        <w:rPr>
          <w:rFonts w:hint="eastAsia"/>
        </w:rPr>
        <w:t>年，徐星、老安两位纪录片导演，跟踪他拍摄了一年，于是有了这部《五加五》。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对于拍摄者来说，碰到这么生龙活虎的人，真是幸运。老金语速很快，信息量大，成了宋庄这个地方及其附近的导游。经他的嘴巴一说，周围环境立马活了：“这条街都是‘红灯</w:t>
      </w:r>
      <w:r>
        <w:rPr>
          <w:rFonts w:hint="eastAsia"/>
        </w:rPr>
        <w:lastRenderedPageBreak/>
        <w:t>区’，北京市燕郊三河市一带有名的‘红灯区’。哎呀，那几年，那时候……”这时你再去看街道两旁，就有一种沧桑的感觉。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他对艺术家了如指掌。某位艺术家从什么地方来，目前是“以市场为基础”，还是在“做行为”，他一清二楚。他的那辆银色小面包车身上，披满了宋庄艺术家们的签名，不同风格和颜色，他自称这车值“</w:t>
      </w:r>
      <w:r>
        <w:t>100</w:t>
      </w:r>
      <w:r>
        <w:rPr>
          <w:rFonts w:hint="eastAsia"/>
        </w:rPr>
        <w:t>万，</w:t>
      </w:r>
      <w:r>
        <w:t>50</w:t>
      </w:r>
      <w:r>
        <w:rPr>
          <w:rFonts w:hint="eastAsia"/>
        </w:rPr>
        <w:t>万不行”。传说他讲究某个人是否有资格在上面签，显然那是一个不低的台阶。栗宪庭给他写的是“为艺术家服务”。后来这车被撞了，纪录片拍成了剧情片。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他的天真中有一种狡黠的成分。一次他端了一盆橘子来，求老栗写一幅字。老栗忙中出错，将“艺无止境”写成了“艺如止境”，他坚决不退还，知道“错版”更有价值。身无分文的他已经收藏了一批艺术家的作品。他动员人们送他画的办法，是不断地提到其他“有头有脸”的艺术家，强调如果你不给我，你就跟不上别人的趟了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他吹嘘的事情听上去有点影子。有了那些已经讨来的作品，他更可以借此发挥，说是要“做一个中国当代艺术不花钱大展”，或“老金不花钱收藏展”，要办得像“舞厅”，让他们都互动起来，“别弄得跟贼似的，谁都不言语”。他还提到想要口授一本“当代艺术史”，由别人替他代笔。在几乎没边的东拉西扯中，他也能道出自己的某方面真相：“我这人就爱贪财，真他妈的。”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这有什么奇怪的。比起宋庄的那些艺术家，他有什么特殊的地方吗？他就是艺术家的一面镜子，或者干脆说像是一幅夸张了的艺术家的“漫画”。他像一块海绵，努力将艺术家的精气神，吸收到自己体内，成为一个暗中模仿的大师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当他努力追赶艺术家的时候，那些艺术家正在做着一个相反的运动，就是成为老金。像老金那样质朴，像老金那样实在，像老金那样新生儿般的百无禁忌。在六一儿童节的时候，一些艺术家们聚在一起，希望重新回到童年，拂去蒙在身上多年的灰尘。但是怎么看，它都像是另一个阴谋，玄机不可透露。即使没有，也让人觉得狐疑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lastRenderedPageBreak/>
        <w:t xml:space="preserve">　　老金对于“做行为”尤其理解，尤其感兴趣。当他问及身旁的村民兄弟对于“做行为”怎么看时，他不自禁地流露出一种沾沾自喜，觉得自己能够掌握这门更加高级时尚的艺术。用他直截了当的语言来说，艺术家就喜欢“光屁股”。还别说，这位老金有童趣但无恶趣，他多少还有一些保守。但是在其他许多方面，他则完全有别于一般村民，与艺术家之间形成标准的“镜像关系”。</w:t>
      </w:r>
    </w:p>
    <w:p w:rsidR="00B63D0A" w:rsidRDefault="00B63D0A" w:rsidP="00B63D0A">
      <w:pPr>
        <w:spacing w:line="456" w:lineRule="auto"/>
      </w:pPr>
      <w:r>
        <w:rPr>
          <w:rFonts w:hint="eastAsia"/>
        </w:rPr>
        <w:t xml:space="preserve">　　他的坦率像艺术家的坦率，他的虚荣像艺术家的虚荣，他的慷慨、热情和务实，都与艺术家相一致，甚至比艺术家还要艺术家。他把自己的整个行为，包括言谈，都做成了“行为”：他出口成章，文体庞杂，带着各种噪音和杂音。在某些方面，他就像是那位“拉摩的侄儿”的近亲。</w:t>
      </w:r>
    </w:p>
    <w:p w:rsidR="00B63D0A" w:rsidRDefault="00B63D0A" w:rsidP="00B63D0A">
      <w:pPr>
        <w:spacing w:line="456" w:lineRule="auto"/>
        <w:ind w:firstLine="390"/>
      </w:pPr>
      <w:r>
        <w:rPr>
          <w:rFonts w:hint="eastAsia"/>
        </w:rPr>
        <w:t>那也是一个转型时期的小人物，狄德罗的这本小书写在两百年前，深深吸引了从马克思到恩格斯，从歌德到黑格尔等若干大人物。他是“高傲与卑鄙、才智与愚蠢的混合物。在他头脑里正当的和不正当的思想一定是奇异地混淆在一起”。老金与这位“拉摩的侄儿”之间，也存在某种镜像，当然因为水土关系，版本不同。■</w:t>
      </w:r>
    </w:p>
    <w:p w:rsidR="00B63D0A" w:rsidRDefault="00B63D0A" w:rsidP="00B63D0A">
      <w:pPr>
        <w:spacing w:line="456" w:lineRule="auto"/>
        <w:ind w:firstLine="390"/>
      </w:pPr>
    </w:p>
    <w:p w:rsidR="00B63D0A" w:rsidRDefault="00B63D0A" w:rsidP="00B63D0A">
      <w:pPr>
        <w:spacing w:line="456" w:lineRule="auto"/>
        <w:ind w:firstLine="390"/>
      </w:pPr>
    </w:p>
    <w:p w:rsidR="00B63D0A" w:rsidRDefault="00B63D0A" w:rsidP="00B63D0A">
      <w:pPr>
        <w:widowControl/>
        <w:numPr>
          <w:ilvl w:val="0"/>
          <w:numId w:val="1"/>
        </w:numPr>
        <w:pBdr>
          <w:bottom w:val="dashed" w:sz="6" w:space="8" w:color="DDDDDD"/>
        </w:pBdr>
        <w:spacing w:line="360" w:lineRule="auto"/>
        <w:ind w:left="0"/>
        <w:jc w:val="left"/>
        <w:outlineLvl w:val="3"/>
        <w:rPr>
          <w:rFonts w:ascii="Arial" w:hAnsi="Arial" w:cs="Arial"/>
          <w:color w:val="666666"/>
          <w:sz w:val="18"/>
          <w:szCs w:val="18"/>
        </w:rPr>
      </w:pPr>
      <w:hyperlink r:id="rId11" w:history="1">
        <w:r>
          <w:rPr>
            <w:rStyle w:val="Hyperlink"/>
            <w:rFonts w:ascii="Arial" w:hAnsi="Arial" w:cs="Arial" w:hint="eastAsia"/>
            <w:sz w:val="18"/>
            <w:szCs w:val="18"/>
          </w:rPr>
          <w:t>门特</w:t>
        </w:r>
      </w:hyperlink>
      <w:r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Style w:val="fleft3"/>
          <w:rFonts w:ascii="Arial" w:hAnsi="Arial" w:cs="Arial"/>
          <w:color w:val="666666"/>
          <w:sz w:val="18"/>
          <w:szCs w:val="18"/>
        </w:rPr>
        <w:t>2012-10-22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0563E7" w:rsidRDefault="000563E7">
      <w:pPr>
        <w:rPr>
          <w:rFonts w:hint="eastAsia"/>
        </w:rPr>
      </w:pPr>
      <w:bookmarkStart w:id="0" w:name="_GoBack"/>
      <w:bookmarkEnd w:id="0"/>
    </w:p>
    <w:sectPr w:rsidR="00056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00D"/>
    <w:multiLevelType w:val="multilevel"/>
    <w:tmpl w:val="424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A"/>
    <w:rsid w:val="000563E7"/>
    <w:rsid w:val="00B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3D0A"/>
    <w:rPr>
      <w:rFonts w:cs="Times New Roman"/>
      <w:color w:val="0082C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63D0A"/>
    <w:rPr>
      <w:rFonts w:cs="Times New Roman"/>
    </w:rPr>
  </w:style>
  <w:style w:type="character" w:customStyle="1" w:styleId="fleft3">
    <w:name w:val="fleft3"/>
    <w:basedOn w:val="DefaultParagraphFont"/>
    <w:rsid w:val="00B63D0A"/>
    <w:rPr>
      <w:rFonts w:cs="Times New Roman"/>
    </w:rPr>
  </w:style>
  <w:style w:type="paragraph" w:styleId="NormalWeb">
    <w:name w:val="Normal (Web)"/>
    <w:basedOn w:val="Normal"/>
    <w:uiPriority w:val="99"/>
    <w:rsid w:val="00B63D0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0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0A"/>
    <w:rPr>
      <w:rFonts w:ascii="Calibri" w:eastAsia="宋体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3D0A"/>
    <w:rPr>
      <w:rFonts w:cs="Times New Roman"/>
      <w:color w:val="0082C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63D0A"/>
    <w:rPr>
      <w:rFonts w:cs="Times New Roman"/>
    </w:rPr>
  </w:style>
  <w:style w:type="character" w:customStyle="1" w:styleId="fleft3">
    <w:name w:val="fleft3"/>
    <w:basedOn w:val="DefaultParagraphFont"/>
    <w:rsid w:val="00B63D0A"/>
    <w:rPr>
      <w:rFonts w:cs="Times New Roman"/>
    </w:rPr>
  </w:style>
  <w:style w:type="paragraph" w:styleId="NormalWeb">
    <w:name w:val="Normal (Web)"/>
    <w:basedOn w:val="Normal"/>
    <w:uiPriority w:val="99"/>
    <w:rsid w:val="00B63D0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0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0A"/>
    <w:rPr>
      <w:rFonts w:ascii="Calibri" w:eastAsia="宋体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gazine.caing.com/2011/cw43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azine.caixin.com/caixin_century/" TargetMode="External"/><Relationship Id="rId11" Type="http://schemas.openxmlformats.org/officeDocument/2006/relationships/hyperlink" Target="http://movie.douban.com/people/ele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gazine.caing.com/2011/cw4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azine.caixin.com/2011-01-15/1002171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2012-10-31T05:38:00Z</dcterms:created>
  <dcterms:modified xsi:type="dcterms:W3CDTF">2012-10-31T05:39:00Z</dcterms:modified>
</cp:coreProperties>
</file>